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19" w:type="dxa"/>
        <w:tblInd w:w="108" w:type="dxa"/>
        <w:tblLayout w:type="fixed"/>
        <w:tblLook w:val="01E0" w:firstRow="1" w:lastRow="1" w:firstColumn="1" w:lastColumn="1" w:noHBand="0" w:noVBand="0"/>
      </w:tblPr>
      <w:tblGrid>
        <w:gridCol w:w="1560"/>
        <w:gridCol w:w="7959"/>
      </w:tblGrid>
      <w:tr w:rsidR="00191EE1" w:rsidRPr="00D25854" w14:paraId="38AB37DB" w14:textId="77777777" w:rsidTr="00B97828">
        <w:tc>
          <w:tcPr>
            <w:tcW w:w="1560" w:type="dxa"/>
            <w:shd w:val="clear" w:color="auto" w:fill="auto"/>
            <w:vAlign w:val="center"/>
          </w:tcPr>
          <w:p w14:paraId="697C8FC0" w14:textId="77777777" w:rsidR="00191EE1" w:rsidRPr="00D25854" w:rsidRDefault="00191EE1" w:rsidP="00B97828">
            <w:pPr>
              <w:jc w:val="center"/>
              <w:rPr>
                <w:b/>
                <w:sz w:val="36"/>
                <w:szCs w:val="28"/>
              </w:rPr>
            </w:pPr>
            <w:r>
              <w:rPr>
                <w:noProof/>
              </w:rPr>
              <w:drawing>
                <wp:inline distT="0" distB="0" distL="0" distR="0" wp14:anchorId="1B8AA281" wp14:editId="3088EF74">
                  <wp:extent cx="741319" cy="1011676"/>
                  <wp:effectExtent l="0" t="0" r="1905"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3775" cy="1015028"/>
                          </a:xfrm>
                          <a:prstGeom prst="rect">
                            <a:avLst/>
                          </a:prstGeom>
                          <a:noFill/>
                          <a:ln>
                            <a:noFill/>
                          </a:ln>
                        </pic:spPr>
                      </pic:pic>
                    </a:graphicData>
                  </a:graphic>
                </wp:inline>
              </w:drawing>
            </w:r>
          </w:p>
        </w:tc>
        <w:tc>
          <w:tcPr>
            <w:tcW w:w="7959" w:type="dxa"/>
            <w:shd w:val="clear" w:color="auto" w:fill="auto"/>
          </w:tcPr>
          <w:p w14:paraId="6AA3A53E" w14:textId="77777777" w:rsidR="00191EE1" w:rsidRPr="00801B00" w:rsidRDefault="00191EE1" w:rsidP="00B97828">
            <w:pPr>
              <w:ind w:left="-23"/>
              <w:jc w:val="center"/>
              <w:rPr>
                <w:rFonts w:ascii="Arial" w:hAnsi="Arial" w:cs="Arial"/>
                <w:b/>
                <w:color w:val="003296"/>
                <w:sz w:val="32"/>
                <w:szCs w:val="32"/>
              </w:rPr>
            </w:pPr>
            <w:r w:rsidRPr="00801B00">
              <w:rPr>
                <w:rFonts w:ascii="Arial" w:hAnsi="Arial" w:cs="Arial"/>
                <w:b/>
                <w:color w:val="003296"/>
                <w:sz w:val="32"/>
                <w:szCs w:val="32"/>
              </w:rPr>
              <w:t>TẬP ĐOÀN ĐIỆN LỰC VIỆT NAM</w:t>
            </w:r>
          </w:p>
          <w:p w14:paraId="4E9E19AF" w14:textId="77777777" w:rsidR="0011668E" w:rsidRDefault="0011668E" w:rsidP="00B97828">
            <w:pPr>
              <w:tabs>
                <w:tab w:val="left" w:pos="476"/>
              </w:tabs>
              <w:spacing w:after="120"/>
              <w:ind w:left="-23"/>
              <w:jc w:val="center"/>
              <w:rPr>
                <w:b/>
                <w:bCs/>
                <w:sz w:val="28"/>
                <w:szCs w:val="28"/>
              </w:rPr>
            </w:pPr>
          </w:p>
          <w:p w14:paraId="23073C54" w14:textId="0E43804F" w:rsidR="00191EE1" w:rsidRPr="00B24D1E" w:rsidRDefault="00191EE1" w:rsidP="00B97828">
            <w:pPr>
              <w:tabs>
                <w:tab w:val="left" w:pos="476"/>
              </w:tabs>
              <w:spacing w:after="120"/>
              <w:ind w:left="-23"/>
              <w:jc w:val="center"/>
              <w:rPr>
                <w:b/>
                <w:bCs/>
                <w:sz w:val="28"/>
                <w:szCs w:val="28"/>
              </w:rPr>
            </w:pPr>
            <w:r w:rsidRPr="00B24D1E">
              <w:rPr>
                <w:b/>
                <w:bCs/>
                <w:sz w:val="28"/>
                <w:szCs w:val="28"/>
              </w:rPr>
              <w:t xml:space="preserve">THÔNG </w:t>
            </w:r>
            <w:r>
              <w:rPr>
                <w:b/>
                <w:bCs/>
                <w:sz w:val="28"/>
                <w:szCs w:val="28"/>
              </w:rPr>
              <w:t>TIN</w:t>
            </w:r>
            <w:r w:rsidRPr="00B24D1E">
              <w:rPr>
                <w:b/>
                <w:bCs/>
                <w:sz w:val="28"/>
                <w:szCs w:val="28"/>
              </w:rPr>
              <w:t xml:space="preserve"> BÁO CHÍ</w:t>
            </w:r>
          </w:p>
          <w:p w14:paraId="67A21F35" w14:textId="77777777" w:rsidR="00191EE1" w:rsidRDefault="00191EE1" w:rsidP="00B97828">
            <w:pPr>
              <w:pStyle w:val="BodyText3"/>
              <w:tabs>
                <w:tab w:val="clear" w:pos="907"/>
              </w:tabs>
              <w:spacing w:before="0"/>
              <w:rPr>
                <w:rFonts w:ascii="Times New Roman" w:hAnsi="Times New Roman"/>
                <w:sz w:val="28"/>
                <w:szCs w:val="28"/>
              </w:rPr>
            </w:pPr>
          </w:p>
          <w:p w14:paraId="5194130A" w14:textId="6CAF0213" w:rsidR="00191EE1" w:rsidRPr="00AF0D01" w:rsidRDefault="00191EE1" w:rsidP="00B97828">
            <w:pPr>
              <w:pStyle w:val="BodyText3"/>
              <w:tabs>
                <w:tab w:val="clear" w:pos="907"/>
              </w:tabs>
              <w:spacing w:before="0"/>
              <w:rPr>
                <w:rFonts w:ascii="Times New Roman" w:hAnsi="Times New Roman"/>
                <w:b w:val="0"/>
                <w:bCs/>
                <w:i/>
                <w:iCs/>
                <w:spacing w:val="-2"/>
                <w:sz w:val="27"/>
                <w:szCs w:val="27"/>
                <w:lang w:val="en-SG"/>
              </w:rPr>
            </w:pPr>
            <w:r w:rsidRPr="00AF0D01">
              <w:rPr>
                <w:rFonts w:ascii="Times New Roman" w:hAnsi="Times New Roman"/>
                <w:b w:val="0"/>
                <w:bCs/>
                <w:i/>
                <w:iCs/>
                <w:sz w:val="28"/>
                <w:szCs w:val="28"/>
              </w:rPr>
              <w:t>Hà Nội, ngày 2</w:t>
            </w:r>
            <w:r w:rsidR="000255A0">
              <w:rPr>
                <w:rFonts w:ascii="Times New Roman" w:hAnsi="Times New Roman"/>
                <w:b w:val="0"/>
                <w:bCs/>
                <w:i/>
                <w:iCs/>
                <w:sz w:val="28"/>
                <w:szCs w:val="28"/>
              </w:rPr>
              <w:t>3</w:t>
            </w:r>
            <w:r w:rsidRPr="00AF0D01">
              <w:rPr>
                <w:rFonts w:ascii="Times New Roman" w:hAnsi="Times New Roman"/>
                <w:b w:val="0"/>
                <w:bCs/>
                <w:i/>
                <w:iCs/>
                <w:sz w:val="28"/>
                <w:szCs w:val="28"/>
              </w:rPr>
              <w:t xml:space="preserve"> tháng 10 năm 2022</w:t>
            </w:r>
          </w:p>
        </w:tc>
      </w:tr>
    </w:tbl>
    <w:p w14:paraId="748A1E81" w14:textId="77777777" w:rsidR="00191EE1" w:rsidRDefault="00191EE1" w:rsidP="00626AF5">
      <w:pPr>
        <w:jc w:val="center"/>
        <w:rPr>
          <w:bCs/>
          <w:sz w:val="28"/>
          <w:szCs w:val="28"/>
        </w:rPr>
      </w:pPr>
    </w:p>
    <w:p w14:paraId="1A632B30" w14:textId="77777777" w:rsidR="00191EE1" w:rsidRDefault="00191EE1" w:rsidP="00626AF5">
      <w:pPr>
        <w:jc w:val="center"/>
        <w:rPr>
          <w:bCs/>
          <w:sz w:val="28"/>
          <w:szCs w:val="28"/>
        </w:rPr>
      </w:pPr>
    </w:p>
    <w:p w14:paraId="5866321E" w14:textId="71C12988" w:rsidR="002B0B4A" w:rsidRPr="00336366" w:rsidRDefault="00BE233F" w:rsidP="00191EE1">
      <w:pPr>
        <w:spacing w:after="120"/>
        <w:jc w:val="center"/>
        <w:rPr>
          <w:b/>
          <w:sz w:val="28"/>
          <w:szCs w:val="28"/>
        </w:rPr>
      </w:pPr>
      <w:r w:rsidRPr="00336366">
        <w:rPr>
          <w:b/>
          <w:sz w:val="28"/>
          <w:szCs w:val="28"/>
        </w:rPr>
        <w:t xml:space="preserve">QUY ĐỊNH CỦA PHÁP LUẬT </w:t>
      </w:r>
      <w:r w:rsidR="002B0B4A" w:rsidRPr="00336366">
        <w:rPr>
          <w:b/>
          <w:sz w:val="28"/>
          <w:szCs w:val="28"/>
        </w:rPr>
        <w:t>LIÊN QUAN ĐẾN</w:t>
      </w:r>
      <w:r w:rsidRPr="00336366">
        <w:rPr>
          <w:b/>
          <w:sz w:val="28"/>
          <w:szCs w:val="28"/>
        </w:rPr>
        <w:t xml:space="preserve"> VẤN ĐỀ </w:t>
      </w:r>
    </w:p>
    <w:p w14:paraId="7ECA82F6" w14:textId="32AA2C7B" w:rsidR="00BE233F" w:rsidRPr="00336366" w:rsidRDefault="00BE233F" w:rsidP="00191EE1">
      <w:pPr>
        <w:spacing w:after="120"/>
        <w:jc w:val="center"/>
        <w:rPr>
          <w:b/>
          <w:sz w:val="28"/>
          <w:szCs w:val="28"/>
        </w:rPr>
      </w:pPr>
      <w:r w:rsidRPr="00336366">
        <w:rPr>
          <w:b/>
          <w:sz w:val="28"/>
          <w:szCs w:val="28"/>
        </w:rPr>
        <w:t>HUY ĐỘNG</w:t>
      </w:r>
      <w:r w:rsidR="002B0B4A" w:rsidRPr="00336366">
        <w:rPr>
          <w:b/>
          <w:sz w:val="28"/>
          <w:szCs w:val="28"/>
        </w:rPr>
        <w:t xml:space="preserve"> </w:t>
      </w:r>
      <w:r w:rsidRPr="00336366">
        <w:rPr>
          <w:b/>
          <w:sz w:val="28"/>
          <w:szCs w:val="28"/>
        </w:rPr>
        <w:t>NGUỒN PHÁT ĐIỆN CHƯA CÓ GIÁ ĐIỆN</w:t>
      </w:r>
    </w:p>
    <w:p w14:paraId="0F24B0EF" w14:textId="77777777" w:rsidR="00626AF5" w:rsidRDefault="00626AF5" w:rsidP="00191EE1">
      <w:pPr>
        <w:spacing w:after="120"/>
        <w:jc w:val="both"/>
        <w:rPr>
          <w:bCs/>
          <w:i/>
          <w:iCs/>
          <w:sz w:val="28"/>
          <w:szCs w:val="28"/>
        </w:rPr>
      </w:pPr>
    </w:p>
    <w:p w14:paraId="66C50969" w14:textId="2F61CA61" w:rsidR="00BE233F" w:rsidRDefault="00BE233F" w:rsidP="00191EE1">
      <w:pPr>
        <w:spacing w:after="120"/>
        <w:ind w:firstLine="561"/>
        <w:jc w:val="both"/>
        <w:rPr>
          <w:bCs/>
          <w:i/>
          <w:iCs/>
          <w:sz w:val="28"/>
          <w:szCs w:val="28"/>
        </w:rPr>
      </w:pPr>
      <w:r w:rsidRPr="00D06255">
        <w:rPr>
          <w:bCs/>
          <w:i/>
          <w:iCs/>
          <w:sz w:val="28"/>
          <w:szCs w:val="28"/>
        </w:rPr>
        <w:t>Liên quan đến việc dừng huy động phần công suất 172</w:t>
      </w:r>
      <w:r w:rsidR="002B0B4A">
        <w:rPr>
          <w:bCs/>
          <w:i/>
          <w:iCs/>
          <w:sz w:val="28"/>
          <w:szCs w:val="28"/>
        </w:rPr>
        <w:t>,12</w:t>
      </w:r>
      <w:r w:rsidRPr="00D06255">
        <w:rPr>
          <w:bCs/>
          <w:i/>
          <w:iCs/>
          <w:sz w:val="28"/>
          <w:szCs w:val="28"/>
        </w:rPr>
        <w:t xml:space="preserve"> MW của ĐMT Trung Nam chưa có giá, vừa qua Chính phủ và Bộ Công Thương đã có nhiều chỉ đạo với nội dung là “EVN huy động phát điện của nhà máy ĐMT Trung Nam trên cơ sở hợp đồng PPA đã ký và theo các quy định của pháp luật”. </w:t>
      </w:r>
      <w:r w:rsidR="009C418D">
        <w:rPr>
          <w:bCs/>
          <w:i/>
          <w:iCs/>
          <w:sz w:val="28"/>
          <w:szCs w:val="28"/>
        </w:rPr>
        <w:t>Như</w:t>
      </w:r>
      <w:r w:rsidR="00181DA2">
        <w:rPr>
          <w:bCs/>
          <w:i/>
          <w:iCs/>
          <w:sz w:val="28"/>
          <w:szCs w:val="28"/>
        </w:rPr>
        <w:t xml:space="preserve"> vậy,</w:t>
      </w:r>
      <w:r>
        <w:rPr>
          <w:bCs/>
          <w:i/>
          <w:iCs/>
          <w:sz w:val="28"/>
          <w:szCs w:val="28"/>
        </w:rPr>
        <w:t xml:space="preserve"> cụm từ “</w:t>
      </w:r>
      <w:r w:rsidRPr="00D06255">
        <w:rPr>
          <w:bCs/>
          <w:i/>
          <w:iCs/>
          <w:sz w:val="28"/>
          <w:szCs w:val="28"/>
        </w:rPr>
        <w:t>các quy định của pháp luật</w:t>
      </w:r>
      <w:r>
        <w:rPr>
          <w:bCs/>
          <w:i/>
          <w:iCs/>
          <w:sz w:val="28"/>
          <w:szCs w:val="28"/>
        </w:rPr>
        <w:t>”</w:t>
      </w:r>
      <w:r w:rsidRPr="00D06255">
        <w:rPr>
          <w:bCs/>
          <w:i/>
          <w:iCs/>
          <w:sz w:val="28"/>
          <w:szCs w:val="28"/>
        </w:rPr>
        <w:t xml:space="preserve"> </w:t>
      </w:r>
      <w:r>
        <w:rPr>
          <w:bCs/>
          <w:i/>
          <w:iCs/>
          <w:sz w:val="28"/>
          <w:szCs w:val="28"/>
        </w:rPr>
        <w:t xml:space="preserve">ở đây được hiểu là theo </w:t>
      </w:r>
      <w:r w:rsidRPr="00D06255">
        <w:rPr>
          <w:bCs/>
          <w:i/>
          <w:iCs/>
          <w:sz w:val="28"/>
          <w:szCs w:val="28"/>
        </w:rPr>
        <w:t>quy định cụ thể ở các văn bản pháp lý nào?</w:t>
      </w:r>
    </w:p>
    <w:p w14:paraId="393D9B1D" w14:textId="77777777" w:rsidR="00191EE1" w:rsidRDefault="00191EE1" w:rsidP="00191EE1">
      <w:pPr>
        <w:spacing w:after="120"/>
        <w:ind w:firstLine="561"/>
        <w:jc w:val="both"/>
        <w:rPr>
          <w:bCs/>
          <w:sz w:val="28"/>
          <w:szCs w:val="28"/>
        </w:rPr>
      </w:pPr>
    </w:p>
    <w:p w14:paraId="0CA6A43F" w14:textId="29DF8158" w:rsidR="00BE233F" w:rsidRDefault="00BE233F" w:rsidP="00191EE1">
      <w:pPr>
        <w:spacing w:after="120"/>
        <w:ind w:firstLine="561"/>
        <w:jc w:val="both"/>
        <w:rPr>
          <w:bCs/>
          <w:sz w:val="28"/>
          <w:szCs w:val="28"/>
        </w:rPr>
      </w:pPr>
      <w:r>
        <w:rPr>
          <w:bCs/>
          <w:sz w:val="28"/>
          <w:szCs w:val="28"/>
        </w:rPr>
        <w:t>Theo các văn bản pháp lý hiện hành, việc dừng huy động phần công suất chưa có giá của nhà máy điện mặt trời (NMĐMT) Trung Nam – Thuận Nam 450</w:t>
      </w:r>
      <w:r w:rsidR="00336366">
        <w:rPr>
          <w:bCs/>
          <w:sz w:val="28"/>
          <w:szCs w:val="28"/>
        </w:rPr>
        <w:t xml:space="preserve"> </w:t>
      </w:r>
      <w:r>
        <w:rPr>
          <w:bCs/>
          <w:sz w:val="28"/>
          <w:szCs w:val="28"/>
        </w:rPr>
        <w:t>MW căn cứ trên các văn bản pháp lý sau:</w:t>
      </w:r>
    </w:p>
    <w:p w14:paraId="17359983" w14:textId="77777777" w:rsidR="00BE233F" w:rsidRPr="000E1C61" w:rsidRDefault="00BE233F" w:rsidP="00191EE1">
      <w:pPr>
        <w:pStyle w:val="ListParagraph"/>
        <w:numPr>
          <w:ilvl w:val="0"/>
          <w:numId w:val="1"/>
        </w:numPr>
        <w:tabs>
          <w:tab w:val="left" w:pos="1080"/>
        </w:tabs>
        <w:spacing w:line="240" w:lineRule="auto"/>
        <w:ind w:left="0" w:firstLine="720"/>
        <w:contextualSpacing w:val="0"/>
        <w:rPr>
          <w:sz w:val="28"/>
          <w:szCs w:val="28"/>
          <w:lang w:val="nl-NL"/>
        </w:rPr>
      </w:pPr>
      <w:r>
        <w:rPr>
          <w:sz w:val="28"/>
          <w:szCs w:val="28"/>
          <w:lang w:val="nl-NL"/>
        </w:rPr>
        <w:t xml:space="preserve">Văn bản số </w:t>
      </w:r>
      <w:r w:rsidRPr="004C6893">
        <w:rPr>
          <w:iCs/>
          <w:sz w:val="28"/>
          <w:szCs w:val="28"/>
          <w:lang w:val="sv-SE"/>
        </w:rPr>
        <w:t>12158/BCT-ĐTĐL ngày 19/12/2016</w:t>
      </w:r>
      <w:r>
        <w:rPr>
          <w:iCs/>
          <w:sz w:val="28"/>
          <w:szCs w:val="28"/>
          <w:lang w:val="sv-SE"/>
        </w:rPr>
        <w:t xml:space="preserve"> của Bộ Công Thương chỉ đạo: </w:t>
      </w:r>
      <w:r w:rsidRPr="00A56017">
        <w:rPr>
          <w:sz w:val="28"/>
          <w:szCs w:val="28"/>
        </w:rPr>
        <w:t>“</w:t>
      </w:r>
      <w:r w:rsidRPr="00A85463">
        <w:rPr>
          <w:i/>
          <w:iCs/>
          <w:sz w:val="28"/>
          <w:szCs w:val="28"/>
          <w:lang w:val="nl-NL"/>
        </w:rPr>
        <w:t xml:space="preserve">Kể từ ngày 01/01/2017, nếu các nhà máy điện (trừ các nhà máy điện lớn, có ý nghĩa đặc biệt quan trọng về kinh tế, xã hội, quốc phòng, an ninh được quy định tại Quyết định 2012/QĐ-TTg ngày 24/10/2016 của Thủ tướng Chính phủ và các nhà máy điện phối hợp vận hành với các nhà máy điện lớn, có ý nghĩa đặc biệt quan trọng về kinh tế, xã hội, quốc phòng, an ninh được quy định tại Quyết định 4712/QĐ-BCT ngày 2/12/2016 của Bộ Công Thương) </w:t>
      </w:r>
      <w:r w:rsidRPr="00A85463">
        <w:rPr>
          <w:b/>
          <w:bCs/>
          <w:i/>
          <w:iCs/>
          <w:sz w:val="28"/>
          <w:szCs w:val="28"/>
          <w:lang w:val="nl-NL"/>
        </w:rPr>
        <w:t>không có hợp đồng mua bán điện</w:t>
      </w:r>
      <w:r w:rsidRPr="00A85463">
        <w:rPr>
          <w:i/>
          <w:iCs/>
          <w:sz w:val="28"/>
          <w:szCs w:val="28"/>
          <w:lang w:val="nl-NL"/>
        </w:rPr>
        <w:t xml:space="preserve"> hoặc có hợp đồng mua bán điện nhưng giá điện đã hết hiệu lực, Bộ Công Thương yêu cầu EVN chỉ đạo các đơn vị liên quan </w:t>
      </w:r>
      <w:r w:rsidRPr="00A85463">
        <w:rPr>
          <w:b/>
          <w:bCs/>
          <w:i/>
          <w:iCs/>
          <w:sz w:val="28"/>
          <w:szCs w:val="28"/>
          <w:lang w:val="nl-NL"/>
        </w:rPr>
        <w:t>không huy động</w:t>
      </w:r>
      <w:r w:rsidRPr="00A85463">
        <w:rPr>
          <w:i/>
          <w:iCs/>
          <w:sz w:val="28"/>
          <w:szCs w:val="28"/>
          <w:lang w:val="nl-NL"/>
        </w:rPr>
        <w:t xml:space="preserve"> các nhà máy điện này phát điện lên lưới điện quốc gia trừ trường hợp cần thiết huy động để đảm bảo an ninh cung cấp điện.</w:t>
      </w:r>
      <w:r>
        <w:rPr>
          <w:sz w:val="28"/>
          <w:szCs w:val="28"/>
          <w:lang w:val="nl-NL"/>
        </w:rPr>
        <w:t>”</w:t>
      </w:r>
    </w:p>
    <w:p w14:paraId="7E4EE5A4" w14:textId="77777777" w:rsidR="00BE233F" w:rsidRPr="00A85463" w:rsidRDefault="00BE233F" w:rsidP="00191EE1">
      <w:pPr>
        <w:pStyle w:val="ListParagraph"/>
        <w:numPr>
          <w:ilvl w:val="0"/>
          <w:numId w:val="1"/>
        </w:numPr>
        <w:tabs>
          <w:tab w:val="left" w:pos="1080"/>
        </w:tabs>
        <w:spacing w:line="240" w:lineRule="auto"/>
        <w:ind w:left="0" w:firstLine="720"/>
        <w:contextualSpacing w:val="0"/>
        <w:rPr>
          <w:sz w:val="28"/>
          <w:szCs w:val="28"/>
          <w:lang w:val="nl-NL"/>
        </w:rPr>
      </w:pPr>
      <w:r w:rsidRPr="00A85463">
        <w:rPr>
          <w:sz w:val="28"/>
          <w:szCs w:val="28"/>
          <w:lang w:val="nl-NL"/>
        </w:rPr>
        <w:t>Điều 4 Thông tư số 13/2017/TT-BCT ngày 3/8/2017 của Bộ Công Thương quy định:</w:t>
      </w:r>
      <w:r w:rsidRPr="00A56017">
        <w:rPr>
          <w:sz w:val="28"/>
          <w:szCs w:val="28"/>
        </w:rPr>
        <w:t>“</w:t>
      </w:r>
      <w:r w:rsidRPr="00A85463">
        <w:rPr>
          <w:i/>
          <w:iCs/>
          <w:sz w:val="28"/>
          <w:szCs w:val="28"/>
        </w:rPr>
        <w:t xml:space="preserve">Tập đoàn Điện lực Việt Nam không thực hiện việc tạm thanh toán hoặc thanh toán tiền điện cho nhà máy điện khi vận hành, phát điện lên lưới mà không ký kết chính thức hợp đồng mua bán điện. Trong trường hợp phải </w:t>
      </w:r>
      <w:r w:rsidRPr="00240BB4">
        <w:rPr>
          <w:b/>
          <w:bCs/>
          <w:i/>
          <w:iCs/>
          <w:sz w:val="28"/>
          <w:szCs w:val="28"/>
        </w:rPr>
        <w:t>huy động các nhà máy này do yêu cầu đảm bảo an ninh cung cấp điện</w:t>
      </w:r>
      <w:r w:rsidRPr="00A85463">
        <w:rPr>
          <w:i/>
          <w:iCs/>
          <w:sz w:val="28"/>
          <w:szCs w:val="28"/>
        </w:rPr>
        <w:t xml:space="preserve">, Tập đoàn Điện lực Việt Nam có trách nhiệm </w:t>
      </w:r>
      <w:r w:rsidRPr="00240BB4">
        <w:rPr>
          <w:b/>
          <w:bCs/>
          <w:i/>
          <w:iCs/>
          <w:sz w:val="28"/>
          <w:szCs w:val="28"/>
        </w:rPr>
        <w:t>báo cáo Bộ Công Thương</w:t>
      </w:r>
      <w:r w:rsidRPr="00A85463">
        <w:rPr>
          <w:i/>
          <w:iCs/>
          <w:sz w:val="28"/>
          <w:szCs w:val="28"/>
        </w:rPr>
        <w:t>, phối hợp với đơn vị phát điện thực hiện việc huy động, vận hành và thanh toán tiền điện cho nhà máy điện.</w:t>
      </w:r>
      <w:r w:rsidRPr="00A85463">
        <w:rPr>
          <w:sz w:val="28"/>
          <w:szCs w:val="28"/>
        </w:rPr>
        <w:t>”</w:t>
      </w:r>
    </w:p>
    <w:p w14:paraId="685E7A85" w14:textId="775867CC" w:rsidR="005C7FFC" w:rsidRDefault="00B1321E" w:rsidP="00191EE1">
      <w:pPr>
        <w:spacing w:after="120"/>
        <w:ind w:firstLine="720"/>
        <w:jc w:val="both"/>
        <w:rPr>
          <w:sz w:val="28"/>
          <w:szCs w:val="28"/>
          <w:lang w:val="nl-NL"/>
        </w:rPr>
      </w:pPr>
      <w:r>
        <w:rPr>
          <w:sz w:val="28"/>
          <w:szCs w:val="28"/>
          <w:lang w:val="nl-NL"/>
        </w:rPr>
        <w:lastRenderedPageBreak/>
        <w:t xml:space="preserve">Như vậy </w:t>
      </w:r>
      <w:r w:rsidR="003455A4">
        <w:rPr>
          <w:sz w:val="28"/>
          <w:szCs w:val="28"/>
          <w:lang w:val="nl-NL"/>
        </w:rPr>
        <w:t>v</w:t>
      </w:r>
      <w:r w:rsidR="00BE233F">
        <w:rPr>
          <w:sz w:val="28"/>
          <w:szCs w:val="28"/>
          <w:lang w:val="nl-NL"/>
        </w:rPr>
        <w:t>ới các căn cứ nêu trên, việc dừng huy động phần công suất 172,12 MW chưa có cơ chế giá của NMĐMT Trung Nam – Thuận Nam là tuân thủ đúng với các văn bản pháp lý theo quy định của pháp luật.</w:t>
      </w:r>
      <w:r w:rsidR="00336366">
        <w:rPr>
          <w:sz w:val="28"/>
          <w:szCs w:val="28"/>
          <w:lang w:val="nl-NL"/>
        </w:rPr>
        <w:t>/.</w:t>
      </w:r>
    </w:p>
    <w:p w14:paraId="15930063" w14:textId="4382926F" w:rsidR="00336366" w:rsidRDefault="00336366" w:rsidP="00191EE1">
      <w:pPr>
        <w:spacing w:after="120"/>
        <w:ind w:firstLine="720"/>
        <w:jc w:val="both"/>
        <w:rPr>
          <w:sz w:val="28"/>
          <w:szCs w:val="28"/>
          <w:lang w:val="nl-NL"/>
        </w:rPr>
      </w:pPr>
    </w:p>
    <w:p w14:paraId="281B867A" w14:textId="77777777" w:rsidR="00336366" w:rsidRPr="00CD5B61" w:rsidRDefault="00336366" w:rsidP="00336366">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4302CB24" w14:textId="77777777" w:rsidR="00336366" w:rsidRPr="00CD5B61" w:rsidRDefault="00336366" w:rsidP="00336366">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5D38063C" w14:textId="77777777" w:rsidR="00336366" w:rsidRPr="00CD5B61" w:rsidRDefault="00336366" w:rsidP="00336366">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495403B0" w14:textId="77777777" w:rsidR="00336366" w:rsidRPr="00CD5B61" w:rsidRDefault="00336366" w:rsidP="00336366">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6"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371E5340" w14:textId="77777777" w:rsidR="00336366" w:rsidRPr="00CD5B61" w:rsidRDefault="00336366" w:rsidP="00336366">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7" w:history="1">
        <w:r w:rsidRPr="00CD5B61">
          <w:rPr>
            <w:rStyle w:val="Hyperlink"/>
            <w:sz w:val="24"/>
            <w:szCs w:val="24"/>
            <w:lang w:val="pt-BR"/>
          </w:rPr>
          <w:t>www.evn.com.vn</w:t>
        </w:r>
      </w:hyperlink>
      <w:r w:rsidRPr="00CD5B61">
        <w:rPr>
          <w:sz w:val="24"/>
          <w:szCs w:val="24"/>
          <w:lang w:val="pt-BR"/>
        </w:rPr>
        <w:t xml:space="preserve">, </w:t>
      </w:r>
      <w:hyperlink r:id="rId8" w:history="1">
        <w:r w:rsidRPr="00CD5B61">
          <w:rPr>
            <w:rStyle w:val="Hyperlink"/>
            <w:sz w:val="24"/>
            <w:szCs w:val="24"/>
            <w:lang w:val="pt-BR"/>
          </w:rPr>
          <w:t>www.tietkiemnangluong.vn</w:t>
        </w:r>
      </w:hyperlink>
    </w:p>
    <w:p w14:paraId="216C8FB3" w14:textId="77777777" w:rsidR="00336366" w:rsidRDefault="00336366" w:rsidP="00336366">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9" w:history="1">
        <w:r w:rsidRPr="00CD5B61">
          <w:rPr>
            <w:rStyle w:val="Hyperlink"/>
            <w:lang w:val="pt-BR"/>
          </w:rPr>
          <w:t>www.facebook.com/evndienlucvietnam</w:t>
        </w:r>
      </w:hyperlink>
    </w:p>
    <w:p w14:paraId="5CD18A83" w14:textId="77777777" w:rsidR="00336366" w:rsidRDefault="00336366" w:rsidP="00336366">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03387635" w14:textId="187A60C7" w:rsidR="00336366" w:rsidRPr="00336366" w:rsidRDefault="00336366" w:rsidP="00336366">
      <w:pPr>
        <w:pStyle w:val="Header"/>
        <w:tabs>
          <w:tab w:val="clear" w:pos="4320"/>
          <w:tab w:val="clear" w:pos="8640"/>
          <w:tab w:val="num" w:pos="1440"/>
        </w:tabs>
        <w:spacing w:before="0"/>
        <w:ind w:left="567"/>
        <w:rPr>
          <w:sz w:val="24"/>
          <w:szCs w:val="24"/>
          <w:lang w:val="pt-BR"/>
        </w:rPr>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0" w:history="1">
        <w:r w:rsidRPr="00B375B3">
          <w:rPr>
            <w:sz w:val="24"/>
            <w:szCs w:val="24"/>
            <w:lang w:val="pt-BR"/>
          </w:rPr>
          <w:t>https://www.tiktok.com/@dienlucvn</w:t>
        </w:r>
      </w:hyperlink>
    </w:p>
    <w:sectPr w:rsidR="00336366" w:rsidRPr="00336366" w:rsidSect="00E42623">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VnClarendonH">
    <w:altName w:val="Calibr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4F522C"/>
    <w:multiLevelType w:val="hybridMultilevel"/>
    <w:tmpl w:val="CD5CDEEE"/>
    <w:lvl w:ilvl="0" w:tplc="ED02135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9"/>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3F"/>
    <w:rsid w:val="000255A0"/>
    <w:rsid w:val="000D06BC"/>
    <w:rsid w:val="0011668E"/>
    <w:rsid w:val="00181DA2"/>
    <w:rsid w:val="00191EE1"/>
    <w:rsid w:val="002B0B4A"/>
    <w:rsid w:val="00336366"/>
    <w:rsid w:val="003455A4"/>
    <w:rsid w:val="005C7FFC"/>
    <w:rsid w:val="00626AF5"/>
    <w:rsid w:val="007F1F86"/>
    <w:rsid w:val="008A649B"/>
    <w:rsid w:val="009C418D"/>
    <w:rsid w:val="00AF5627"/>
    <w:rsid w:val="00B1321E"/>
    <w:rsid w:val="00BE233F"/>
    <w:rsid w:val="00E4262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42222"/>
  <w15:chartTrackingRefBased/>
  <w15:docId w15:val="{9CA77793-EC92-8341-AF5E-3E34F4A5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6"/>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33F"/>
    <w:rPr>
      <w:rFonts w:eastAsia="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BE233F"/>
    <w:pPr>
      <w:spacing w:after="120" w:line="276" w:lineRule="auto"/>
      <w:ind w:left="720"/>
      <w:contextualSpacing/>
      <w:jc w:val="both"/>
    </w:pPr>
    <w:rPr>
      <w:noProof/>
      <w:sz w:val="26"/>
      <w:szCs w:val="20"/>
      <w:lang w:val="vi-VN"/>
    </w:rPr>
  </w:style>
  <w:style w:type="character" w:customStyle="1" w:styleId="ListParagraphChar">
    <w:name w:val="List Paragraph Char"/>
    <w:link w:val="ListParagraph"/>
    <w:locked/>
    <w:rsid w:val="00BE233F"/>
    <w:rPr>
      <w:rFonts w:eastAsia="Times New Roman" w:cs="Times New Roman"/>
      <w:noProof/>
      <w:szCs w:val="20"/>
      <w:lang w:val="vi-VN"/>
    </w:rPr>
  </w:style>
  <w:style w:type="paragraph" w:styleId="BodyText3">
    <w:name w:val="Body Text 3"/>
    <w:aliases w:val="Body Text 31 Char,Body Text 31"/>
    <w:basedOn w:val="Normal"/>
    <w:link w:val="BodyText3Char"/>
    <w:rsid w:val="00191EE1"/>
    <w:pPr>
      <w:tabs>
        <w:tab w:val="left" w:pos="907"/>
      </w:tabs>
      <w:spacing w:before="120"/>
      <w:jc w:val="center"/>
      <w:outlineLvl w:val="0"/>
    </w:pPr>
    <w:rPr>
      <w:rFonts w:ascii=".VnClarendonH" w:hAnsi=".VnClarendonH"/>
      <w:b/>
      <w:sz w:val="32"/>
      <w:szCs w:val="26"/>
    </w:rPr>
  </w:style>
  <w:style w:type="character" w:customStyle="1" w:styleId="BodyText3Char">
    <w:name w:val="Body Text 3 Char"/>
    <w:aliases w:val="Body Text 31 Char Char,Body Text 31 Char1"/>
    <w:basedOn w:val="DefaultParagraphFont"/>
    <w:link w:val="BodyText3"/>
    <w:rsid w:val="00191EE1"/>
    <w:rPr>
      <w:rFonts w:ascii=".VnClarendonH" w:eastAsia="Times New Roman" w:hAnsi=".VnClarendonH" w:cs="Times New Roman"/>
      <w:b/>
      <w:sz w:val="32"/>
      <w:szCs w:val="26"/>
      <w:lang w:val="en-US"/>
    </w:rPr>
  </w:style>
  <w:style w:type="paragraph" w:styleId="NormalWeb">
    <w:name w:val="Normal (Web)"/>
    <w:basedOn w:val="Normal"/>
    <w:uiPriority w:val="99"/>
    <w:unhideWhenUsed/>
    <w:rsid w:val="00336366"/>
    <w:pPr>
      <w:spacing w:before="100" w:beforeAutospacing="1" w:after="100" w:afterAutospacing="1"/>
    </w:p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336366"/>
    <w:pPr>
      <w:tabs>
        <w:tab w:val="left" w:pos="907"/>
        <w:tab w:val="center" w:pos="4320"/>
        <w:tab w:val="right" w:pos="8640"/>
      </w:tabs>
      <w:spacing w:before="120"/>
      <w:jc w:val="both"/>
    </w:pPr>
    <w:rPr>
      <w:sz w:val="26"/>
      <w:szCs w:val="26"/>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rsid w:val="00336366"/>
    <w:rPr>
      <w:rFonts w:eastAsia="Times New Roman" w:cs="Times New Roman"/>
      <w:szCs w:val="26"/>
      <w:lang w:val="en-US"/>
    </w:rPr>
  </w:style>
  <w:style w:type="character" w:styleId="Hyperlink">
    <w:name w:val="Hyperlink"/>
    <w:uiPriority w:val="99"/>
    <w:rsid w:val="003363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tkiemnangluong.vn" TargetMode="External"/><Relationship Id="rId3" Type="http://schemas.openxmlformats.org/officeDocument/2006/relationships/settings" Target="settings.xml"/><Relationship Id="rId7" Type="http://schemas.openxmlformats.org/officeDocument/2006/relationships/hyperlink" Target="http://www.evn.com.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ntt@evn.com.v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tiktok.com/@dienlucvn" TargetMode="External"/><Relationship Id="rId4" Type="http://schemas.openxmlformats.org/officeDocument/2006/relationships/webSettings" Target="webSettings.xml"/><Relationship Id="rId9" Type="http://schemas.openxmlformats.org/officeDocument/2006/relationships/hyperlink" Target="http://www.facebook.com/evndienlucviet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Trinh Mai Phuong</cp:lastModifiedBy>
  <cp:revision>22</cp:revision>
  <dcterms:created xsi:type="dcterms:W3CDTF">2022-10-23T08:29:00Z</dcterms:created>
  <dcterms:modified xsi:type="dcterms:W3CDTF">2022-10-23T09:18:00Z</dcterms:modified>
</cp:coreProperties>
</file>