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847"/>
      </w:tblGrid>
      <w:tr w:rsidR="00C1614D" w:rsidRPr="00C65C68" w14:paraId="28463D65" w14:textId="77777777" w:rsidTr="00EF4CB4">
        <w:trPr>
          <w:trHeight w:val="2690"/>
        </w:trPr>
        <w:tc>
          <w:tcPr>
            <w:tcW w:w="2886" w:type="dxa"/>
            <w:shd w:val="clear" w:color="auto" w:fill="auto"/>
          </w:tcPr>
          <w:p w14:paraId="2AD0D3C9" w14:textId="58B38C44" w:rsidR="00C1614D" w:rsidRPr="00C65C68" w:rsidRDefault="00C1614D" w:rsidP="00007AFF">
            <w:pPr>
              <w:spacing w:before="6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C6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16E982E" wp14:editId="32A0AA57">
                  <wp:extent cx="1695450" cy="1695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  <w:shd w:val="clear" w:color="auto" w:fill="auto"/>
          </w:tcPr>
          <w:p w14:paraId="28598CE7" w14:textId="77777777" w:rsidR="00C1614D" w:rsidRPr="00C65C68" w:rsidRDefault="00C1614D" w:rsidP="00007AFF">
            <w:pPr>
              <w:spacing w:before="60" w:line="252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  <w:r w:rsidRPr="00C65C68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TỔNG CÔNG TY ĐIỆN LỰC MIỀN TRUNG</w:t>
            </w:r>
          </w:p>
          <w:p w14:paraId="44C5D645" w14:textId="77777777" w:rsidR="00C1614D" w:rsidRPr="00C65C68" w:rsidRDefault="00C1614D" w:rsidP="00007AFF">
            <w:pPr>
              <w:spacing w:before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5C68">
              <w:rPr>
                <w:rFonts w:ascii="Times New Roman" w:hAnsi="Times New Roman"/>
                <w:b/>
                <w:bCs/>
                <w:sz w:val="28"/>
                <w:szCs w:val="28"/>
              </w:rPr>
              <w:t>THÔNG TIN BÁO CHÍ</w:t>
            </w:r>
          </w:p>
          <w:p w14:paraId="74B9F798" w14:textId="77777777" w:rsidR="00C1614D" w:rsidRDefault="00C1614D" w:rsidP="00007AFF">
            <w:pPr>
              <w:spacing w:before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LIÊN QUAN ĐẾN CỘT ĐIỆN BỊ GÃY TẠI </w:t>
            </w:r>
          </w:p>
          <w:p w14:paraId="1D5C7CF4" w14:textId="77777777" w:rsidR="00C1614D" w:rsidRDefault="00C1614D" w:rsidP="00007AFF">
            <w:pPr>
              <w:spacing w:before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TỈNH THỪA THIÊN HUẾ DO ẢNH HƯỞNG </w:t>
            </w:r>
          </w:p>
          <w:p w14:paraId="00326480" w14:textId="77777777" w:rsidR="00C1614D" w:rsidRPr="00C65C68" w:rsidRDefault="00C1614D" w:rsidP="00007AFF">
            <w:pPr>
              <w:spacing w:before="6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 BÃO SỐ 5</w:t>
            </w:r>
          </w:p>
        </w:tc>
      </w:tr>
    </w:tbl>
    <w:p w14:paraId="6F7A470D" w14:textId="54F96D7B" w:rsidR="00C1614D" w:rsidRDefault="00C1614D" w:rsidP="00C1614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1614D">
        <w:rPr>
          <w:rFonts w:ascii="Times New Roman" w:hAnsi="Times New Roman" w:cs="Times New Roman"/>
          <w:i/>
          <w:iCs/>
          <w:sz w:val="28"/>
          <w:szCs w:val="28"/>
        </w:rPr>
        <w:t>Đà</w:t>
      </w:r>
      <w:proofErr w:type="spellEnd"/>
      <w:r w:rsidRPr="00C161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614D">
        <w:rPr>
          <w:rFonts w:ascii="Times New Roman" w:hAnsi="Times New Roman" w:cs="Times New Roman"/>
          <w:i/>
          <w:iCs/>
          <w:sz w:val="28"/>
          <w:szCs w:val="28"/>
        </w:rPr>
        <w:t>Nẵng</w:t>
      </w:r>
      <w:proofErr w:type="spellEnd"/>
      <w:r w:rsidRPr="00C161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614D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C1614D">
        <w:rPr>
          <w:rFonts w:ascii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 w:rsidRPr="00C1614D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C1614D">
        <w:rPr>
          <w:rFonts w:ascii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C1614D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C1614D">
        <w:rPr>
          <w:rFonts w:ascii="Times New Roman" w:hAnsi="Times New Roman" w:cs="Times New Roman"/>
          <w:i/>
          <w:iCs/>
          <w:sz w:val="28"/>
          <w:szCs w:val="28"/>
        </w:rPr>
        <w:t xml:space="preserve"> 2020</w:t>
      </w:r>
    </w:p>
    <w:p w14:paraId="1E48DA0B" w14:textId="2DD1A454" w:rsidR="00784D84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</w:t>
      </w:r>
      <w:bookmarkStart w:id="0" w:name="_GoBack"/>
      <w:bookmarkEnd w:id="0"/>
      <w:r w:rsidRPr="00CF3FD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6DA0F" w14:textId="5E99E748" w:rsidR="00CF3FD5" w:rsidRP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tan, EVNCPC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(EVNCPC)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Ngãi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784D84" w:rsidRPr="0078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84" w:rsidRPr="00784D8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.</w:t>
      </w:r>
    </w:p>
    <w:p w14:paraId="2C484F1C" w14:textId="093F01CD" w:rsidR="00CF3FD5" w:rsidRP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616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531.135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 tại các tỉnh, thành phố nêu trên</w:t>
      </w:r>
      <w:r w:rsidRPr="00CF3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304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0,06%), 169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143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0FC0F5" w14:textId="4CDA4594" w:rsidR="00CF3FD5" w:rsidRP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304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0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 các tỉnh, thành phố nêu trên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00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 tông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270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F212B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272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00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 tông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F212B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00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 tông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.</w:t>
      </w:r>
    </w:p>
    <w:p w14:paraId="106A6467" w14:textId="031FCED0" w:rsidR="00CF3FD5" w:rsidRP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212BF">
        <w:rPr>
          <w:rFonts w:ascii="Times New Roman" w:hAnsi="Times New Roman" w:cs="Times New Roman"/>
          <w:sz w:val="28"/>
          <w:szCs w:val="28"/>
          <w:lang w:val="vi-VN"/>
        </w:rPr>
        <w:t xml:space="preserve"> là do</w:t>
      </w:r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sứ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.</w:t>
      </w:r>
    </w:p>
    <w:p w14:paraId="2DEF73EF" w14:textId="77777777" w:rsidR="00CF3FD5" w:rsidRP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giật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xoáy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néo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.</w:t>
      </w:r>
    </w:p>
    <w:p w14:paraId="563F54BD" w14:textId="53C054E8" w:rsidR="00CF3FD5" w:rsidRPr="00CF3FD5" w:rsidRDefault="00CF3FD5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FD5">
        <w:rPr>
          <w:rFonts w:ascii="Times New Roman" w:hAnsi="Times New Roman" w:cs="Times New Roman"/>
          <w:sz w:val="28"/>
          <w:szCs w:val="28"/>
        </w:rPr>
        <w:t xml:space="preserve">EVNCPC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mua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sắm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cột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tổ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chức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đấu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thầu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rộng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rãi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quy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Luật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Đấu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thầu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từ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ty TNHH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vấn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Xây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lắp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504,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ty TNHH MTV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Xây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dựng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384,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ty CP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Xây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lắp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>Quảng</w:t>
      </w:r>
      <w:proofErr w:type="spellEnd"/>
      <w:r w:rsidR="00B947CC" w:rsidRPr="00B94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Nam…</w:t>
      </w:r>
      <w:r w:rsidR="00B947CC">
        <w:rPr>
          <w:rFonts w:ascii="Times New Roman" w:hAnsi="Times New Roman" w:cs="Times New Roman"/>
          <w:sz w:val="28"/>
          <w:szCs w:val="28"/>
        </w:rPr>
        <w:t xml:space="preserve"> </w:t>
      </w:r>
      <w:r w:rsidR="00292DBB">
        <w:rPr>
          <w:rFonts w:ascii="Times New Roman" w:hAnsi="Times New Roman" w:cs="Times New Roman"/>
          <w:sz w:val="28"/>
          <w:szCs w:val="28"/>
          <w:lang w:val="vi-VN"/>
        </w:rPr>
        <w:t>C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EVNCPC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D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92DBB">
        <w:rPr>
          <w:rFonts w:ascii="Times New Roman" w:hAnsi="Times New Roman" w:cs="Times New Roman"/>
          <w:sz w:val="28"/>
          <w:szCs w:val="28"/>
          <w:lang w:val="vi-VN"/>
        </w:rPr>
        <w:t xml:space="preserve"> nhà sản xuất trong nước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lastRenderedPageBreak/>
        <w:t>của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Nam TCVN 5847</w:t>
      </w:r>
      <w:r w:rsidR="00793668">
        <w:rPr>
          <w:rFonts w:ascii="Times New Roman" w:hAnsi="Times New Roman" w:cs="Times New Roman"/>
          <w:sz w:val="28"/>
          <w:szCs w:val="28"/>
        </w:rPr>
        <w:t>:</w:t>
      </w:r>
      <w:r w:rsidRPr="00CF3FD5">
        <w:rPr>
          <w:rFonts w:ascii="Times New Roman" w:hAnsi="Times New Roman" w:cs="Times New Roman"/>
          <w:sz w:val="28"/>
          <w:szCs w:val="28"/>
        </w:rPr>
        <w:t>2016</w:t>
      </w:r>
      <w:r w:rsidR="00793668">
        <w:rPr>
          <w:rFonts w:ascii="Times New Roman" w:hAnsi="Times New Roman" w:cs="Times New Roman"/>
          <w:sz w:val="28"/>
          <w:szCs w:val="28"/>
        </w:rPr>
        <w:t>, 5847:1994</w:t>
      </w:r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2CA59" w14:textId="77777777" w:rsidR="00CF3FD5" w:rsidRP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EVNCPC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trọng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sửa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chữa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bị,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xư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đảm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bảo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toàn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ty.</w:t>
      </w:r>
    </w:p>
    <w:p w14:paraId="3E39A38E" w14:textId="14862306" w:rsidR="00CF3FD5" w:rsidRP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EVNCPC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r w:rsidR="00A54700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CF3FD5">
        <w:rPr>
          <w:rFonts w:ascii="Times New Roman" w:hAnsi="Times New Roman" w:cs="Times New Roman"/>
          <w:sz w:val="28"/>
          <w:szCs w:val="28"/>
        </w:rPr>
        <w:t xml:space="preserve">an,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cối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lang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tỉa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cối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.</w:t>
      </w:r>
    </w:p>
    <w:p w14:paraId="0C96C40F" w14:textId="6F8E995C" w:rsidR="00CF3FD5" w:rsidRDefault="00CF3FD5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00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A54700">
        <w:rPr>
          <w:rFonts w:ascii="Times New Roman" w:hAnsi="Times New Roman" w:cs="Times New Roman"/>
          <w:sz w:val="28"/>
          <w:szCs w:val="28"/>
          <w:lang w:val="vi-VN"/>
        </w:rPr>
        <w:t xml:space="preserve"> trọng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./. </w:t>
      </w:r>
    </w:p>
    <w:p w14:paraId="450E0E25" w14:textId="77777777" w:rsidR="00784D84" w:rsidRPr="00CF3FD5" w:rsidRDefault="00784D84" w:rsidP="00784D84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EC2581" w14:textId="77777777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FD5">
        <w:rPr>
          <w:rFonts w:ascii="Times New Roman" w:hAnsi="Times New Roman" w:cs="Times New Roman"/>
          <w:b/>
          <w:bCs/>
          <w:sz w:val="28"/>
          <w:szCs w:val="28"/>
        </w:rPr>
        <w:t>THÔNG TIN LIÊN HỆ:</w:t>
      </w:r>
    </w:p>
    <w:p w14:paraId="1467863B" w14:textId="77777777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D5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;</w:t>
      </w:r>
    </w:p>
    <w:p w14:paraId="62953A08" w14:textId="77777777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D5">
        <w:rPr>
          <w:rFonts w:ascii="Times New Roman" w:hAnsi="Times New Roman" w:cs="Times New Roman"/>
          <w:sz w:val="28"/>
          <w:szCs w:val="28"/>
        </w:rPr>
        <w:t>Email: truyenthong@cpc.vn</w:t>
      </w:r>
    </w:p>
    <w:p w14:paraId="11E03261" w14:textId="77777777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: 0236.2221028</w:t>
      </w:r>
      <w:proofErr w:type="gramStart"/>
      <w:r w:rsidRPr="00CF3FD5">
        <w:rPr>
          <w:rFonts w:ascii="Times New Roman" w:hAnsi="Times New Roman" w:cs="Times New Roman"/>
          <w:sz w:val="28"/>
          <w:szCs w:val="28"/>
        </w:rPr>
        <w:t>;  Fax</w:t>
      </w:r>
      <w:proofErr w:type="gramEnd"/>
      <w:r w:rsidRPr="00CF3FD5">
        <w:rPr>
          <w:rFonts w:ascii="Times New Roman" w:hAnsi="Times New Roman" w:cs="Times New Roman"/>
          <w:sz w:val="28"/>
          <w:szCs w:val="28"/>
        </w:rPr>
        <w:t>: 0236.3625071</w:t>
      </w:r>
    </w:p>
    <w:p w14:paraId="60F9752C" w14:textId="77777777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: 78A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D5">
        <w:rPr>
          <w:rFonts w:ascii="Times New Roman" w:hAnsi="Times New Roman" w:cs="Times New Roman"/>
          <w:sz w:val="28"/>
          <w:szCs w:val="28"/>
        </w:rPr>
        <w:t>Nẵng</w:t>
      </w:r>
      <w:proofErr w:type="spellEnd"/>
    </w:p>
    <w:p w14:paraId="5D111331" w14:textId="77777777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D5">
        <w:rPr>
          <w:rFonts w:ascii="Times New Roman" w:hAnsi="Times New Roman" w:cs="Times New Roman"/>
          <w:sz w:val="28"/>
          <w:szCs w:val="28"/>
        </w:rPr>
        <w:t>Website: www.cpc.vn;</w:t>
      </w:r>
    </w:p>
    <w:p w14:paraId="731A2274" w14:textId="77777777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FD5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CF3FD5">
        <w:rPr>
          <w:rFonts w:ascii="Times New Roman" w:hAnsi="Times New Roman" w:cs="Times New Roman"/>
          <w:sz w:val="28"/>
          <w:szCs w:val="28"/>
        </w:rPr>
        <w:t>: www.facebook.com/evncpc.vn/</w:t>
      </w:r>
    </w:p>
    <w:p w14:paraId="7FE9E0B2" w14:textId="4CA8AC4F" w:rsidR="00CF3FD5" w:rsidRPr="00CF3FD5" w:rsidRDefault="00CF3FD5" w:rsidP="00784D84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D5">
        <w:rPr>
          <w:rFonts w:ascii="Times New Roman" w:hAnsi="Times New Roman" w:cs="Times New Roman"/>
          <w:sz w:val="28"/>
          <w:szCs w:val="28"/>
        </w:rPr>
        <w:t>Facebook group: www.facebook.com/groups/dienlucmientrung</w:t>
      </w:r>
    </w:p>
    <w:sectPr w:rsidR="00CF3FD5" w:rsidRPr="00CF3FD5" w:rsidSect="00B76CD1">
      <w:pgSz w:w="11906" w:h="16838" w:code="9"/>
      <w:pgMar w:top="1008" w:right="99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4D"/>
    <w:rsid w:val="001F5014"/>
    <w:rsid w:val="00292DBB"/>
    <w:rsid w:val="00304931"/>
    <w:rsid w:val="004263F3"/>
    <w:rsid w:val="004F5DF8"/>
    <w:rsid w:val="0069722B"/>
    <w:rsid w:val="00784D84"/>
    <w:rsid w:val="00793668"/>
    <w:rsid w:val="008840F9"/>
    <w:rsid w:val="00A11FE6"/>
    <w:rsid w:val="00A54700"/>
    <w:rsid w:val="00B76CD1"/>
    <w:rsid w:val="00B93FBE"/>
    <w:rsid w:val="00B947CC"/>
    <w:rsid w:val="00BA7C6D"/>
    <w:rsid w:val="00BD789A"/>
    <w:rsid w:val="00C1614D"/>
    <w:rsid w:val="00CF3FD5"/>
    <w:rsid w:val="00DE59EA"/>
    <w:rsid w:val="00E3077D"/>
    <w:rsid w:val="00EF4CB4"/>
    <w:rsid w:val="00F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9528"/>
  <w15:chartTrackingRefBased/>
  <w15:docId w15:val="{459DEB79-D53B-49A0-A3AA-3AEFD60C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1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1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Vỹ (CPC-TT.CV)</dc:creator>
  <cp:keywords/>
  <dc:description/>
  <cp:lastModifiedBy>Lenovo</cp:lastModifiedBy>
  <cp:revision>3</cp:revision>
  <dcterms:created xsi:type="dcterms:W3CDTF">2020-09-22T13:18:00Z</dcterms:created>
  <dcterms:modified xsi:type="dcterms:W3CDTF">2020-09-22T14:15:00Z</dcterms:modified>
</cp:coreProperties>
</file>