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8080"/>
      </w:tblGrid>
      <w:tr w:rsidR="00BD6FC0" w:rsidRPr="0038145D" w14:paraId="1A71C670" w14:textId="77777777" w:rsidTr="003D3C25">
        <w:trPr>
          <w:trHeight w:val="1985"/>
        </w:trPr>
        <w:tc>
          <w:tcPr>
            <w:tcW w:w="1844" w:type="dxa"/>
            <w:shd w:val="clear" w:color="auto" w:fill="auto"/>
            <w:vAlign w:val="center"/>
          </w:tcPr>
          <w:p w14:paraId="4A23C025" w14:textId="77777777" w:rsidR="00BD6FC0" w:rsidRPr="0038145D" w:rsidRDefault="00BD6FC0" w:rsidP="003D3C25">
            <w:pPr>
              <w:jc w:val="center"/>
              <w:rPr>
                <w:b/>
                <w:szCs w:val="28"/>
              </w:rPr>
            </w:pPr>
            <w:r w:rsidRPr="008F0025">
              <w:rPr>
                <w:noProof/>
                <w:szCs w:val="28"/>
              </w:rPr>
              <w:drawing>
                <wp:inline distT="0" distB="0" distL="0" distR="0" wp14:anchorId="14ED8DFA" wp14:editId="786C5B0D">
                  <wp:extent cx="695325" cy="952500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88F1F96" w14:textId="77777777" w:rsidR="00BD6FC0" w:rsidRPr="00565684" w:rsidRDefault="00BD6FC0" w:rsidP="003D3C25">
            <w:pPr>
              <w:spacing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05BB96A9" w14:textId="77777777" w:rsidR="00BD6FC0" w:rsidRDefault="00BD6FC0" w:rsidP="003D3C25">
            <w:pPr>
              <w:tabs>
                <w:tab w:val="left" w:pos="476"/>
              </w:tabs>
              <w:jc w:val="center"/>
              <w:rPr>
                <w:b/>
                <w:bCs/>
                <w:szCs w:val="28"/>
              </w:rPr>
            </w:pPr>
            <w:r w:rsidRPr="0038145D">
              <w:rPr>
                <w:b/>
                <w:bCs/>
                <w:szCs w:val="28"/>
              </w:rPr>
              <w:t>THÔNG TIN BÁO CHÍ</w:t>
            </w:r>
          </w:p>
          <w:p w14:paraId="088F8AB8" w14:textId="77777777" w:rsidR="00BD6FC0" w:rsidRDefault="00BD6FC0" w:rsidP="003D3C25">
            <w:pPr>
              <w:rPr>
                <w:sz w:val="20"/>
                <w:szCs w:val="20"/>
              </w:rPr>
            </w:pPr>
          </w:p>
          <w:p w14:paraId="05C9669A" w14:textId="77777777" w:rsidR="00BD6FC0" w:rsidRPr="002745E0" w:rsidRDefault="00BD6FC0" w:rsidP="00BD6FC0">
            <w:pPr>
              <w:jc w:val="center"/>
            </w:pPr>
            <w:r w:rsidRPr="00FE753D">
              <w:rPr>
                <w:i/>
                <w:szCs w:val="28"/>
                <w:lang w:val="vi-VN"/>
              </w:rPr>
              <w:t>Hà Nội, ngày 1</w:t>
            </w:r>
            <w:r>
              <w:rPr>
                <w:i/>
                <w:szCs w:val="28"/>
                <w:lang w:val="en-US"/>
              </w:rPr>
              <w:t>9</w:t>
            </w:r>
            <w:r w:rsidRPr="00FE753D">
              <w:rPr>
                <w:i/>
                <w:szCs w:val="28"/>
                <w:lang w:val="vi-VN"/>
              </w:rPr>
              <w:t xml:space="preserve"> tháng 9 năm 2020</w:t>
            </w:r>
          </w:p>
        </w:tc>
      </w:tr>
    </w:tbl>
    <w:p w14:paraId="19D67BC6" w14:textId="77777777" w:rsidR="00BD6FC0" w:rsidRDefault="00BD6FC0" w:rsidP="00CB764A">
      <w:pPr>
        <w:snapToGrid w:val="0"/>
        <w:spacing w:after="120"/>
        <w:jc w:val="both"/>
        <w:rPr>
          <w:lang w:val="en-US"/>
        </w:rPr>
      </w:pPr>
    </w:p>
    <w:p w14:paraId="5457208A" w14:textId="77777777" w:rsidR="00BD6FC0" w:rsidRDefault="00CB764A" w:rsidP="00BD6FC0">
      <w:pPr>
        <w:snapToGrid w:val="0"/>
        <w:spacing w:after="120" w:line="240" w:lineRule="auto"/>
        <w:jc w:val="center"/>
        <w:rPr>
          <w:b/>
          <w:bCs/>
          <w:lang w:val="en-US"/>
        </w:rPr>
      </w:pPr>
      <w:r w:rsidRPr="00BD6FC0">
        <w:rPr>
          <w:b/>
          <w:bCs/>
          <w:lang w:val="en-US"/>
        </w:rPr>
        <w:t>THÔNG TIN</w:t>
      </w:r>
      <w:r w:rsidR="00BD6FC0">
        <w:rPr>
          <w:b/>
          <w:bCs/>
          <w:lang w:val="en-US"/>
        </w:rPr>
        <w:t xml:space="preserve"> CẬP NHẬT</w:t>
      </w:r>
      <w:r w:rsidRPr="00BD6FC0">
        <w:rPr>
          <w:b/>
          <w:bCs/>
          <w:lang w:val="en-US"/>
        </w:rPr>
        <w:t xml:space="preserve"> VỀ TÌNH HÌNH KHÔI PHỤC </w:t>
      </w:r>
    </w:p>
    <w:p w14:paraId="2D881E28" w14:textId="77777777" w:rsidR="00CB764A" w:rsidRPr="00BD6FC0" w:rsidRDefault="00CB764A" w:rsidP="00BD6FC0">
      <w:pPr>
        <w:snapToGrid w:val="0"/>
        <w:spacing w:after="120" w:line="240" w:lineRule="auto"/>
        <w:jc w:val="center"/>
        <w:rPr>
          <w:b/>
          <w:bCs/>
          <w:lang w:val="en-US"/>
        </w:rPr>
      </w:pPr>
      <w:r w:rsidRPr="00BD6FC0">
        <w:rPr>
          <w:b/>
          <w:bCs/>
          <w:lang w:val="en-US"/>
        </w:rPr>
        <w:t>CUNG CẤP ĐIỆN, KHẮC PHỤC HẬU QUẢ CƠN BÃO SỐ 5 (NOUL)</w:t>
      </w:r>
    </w:p>
    <w:p w14:paraId="59F9BE12" w14:textId="77777777" w:rsidR="00CB764A" w:rsidRDefault="00CB764A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</w:p>
    <w:p w14:paraId="5CFD94B3" w14:textId="77777777" w:rsidR="00CB764A" w:rsidRDefault="00CB764A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r w:rsidRPr="00BD6FC0">
        <w:rPr>
          <w:lang w:val="vi-VN"/>
        </w:rPr>
        <w:t xml:space="preserve">Sau khi </w:t>
      </w:r>
      <w:r w:rsidRPr="00BD6FC0">
        <w:rPr>
          <w:lang w:val="vi-VN"/>
        </w:rPr>
        <w:t>bão số 5 đi vào đất liền các tỉnh Quảng Trị, Thừa Thiên Huế và</w:t>
      </w:r>
      <w:r w:rsidRPr="00BD6FC0">
        <w:rPr>
          <w:lang w:val="vi-VN"/>
        </w:rPr>
        <w:t xml:space="preserve"> đã</w:t>
      </w:r>
      <w:r w:rsidRPr="00BD6FC0">
        <w:rPr>
          <w:lang w:val="vi-VN"/>
        </w:rPr>
        <w:t xml:space="preserve"> suy yếu thành áp thấp nhiệt đới. </w:t>
      </w:r>
      <w:r w:rsidRPr="00BD6FC0">
        <w:rPr>
          <w:lang w:val="vi-VN"/>
        </w:rPr>
        <w:t>C</w:t>
      </w:r>
      <w:r w:rsidRPr="00BD6FC0">
        <w:rPr>
          <w:lang w:val="vi-VN"/>
        </w:rPr>
        <w:t>hiều</w:t>
      </w:r>
      <w:r w:rsidRPr="00BD6FC0">
        <w:rPr>
          <w:lang w:val="vi-VN"/>
        </w:rPr>
        <w:t xml:space="preserve"> hôm qua 18/9</w:t>
      </w:r>
      <w:r w:rsidRPr="00BD6FC0">
        <w:rPr>
          <w:lang w:val="vi-VN"/>
        </w:rPr>
        <w:t>, áp thấp nhiệt đới tiếp tục đi sâu vào đất liền và suy yếu thành một vùng áp thấp.</w:t>
      </w:r>
      <w:r w:rsidRPr="00BD6FC0">
        <w:rPr>
          <w:lang w:val="vi-VN"/>
        </w:rPr>
        <w:t xml:space="preserve"> </w:t>
      </w:r>
      <w:r w:rsidRPr="00BD6FC0">
        <w:rPr>
          <w:lang w:val="vi-VN"/>
        </w:rPr>
        <w:t xml:space="preserve">Trong ngày 19/9, do ảnh hưởng của hoàn lưu sau bão kết hợp với không khí lạnh nên ở Bắc Trung Bộ, khu vực Đông Bắc và đồng bằng Bắc Bộ có mưa vừa, mưa to, có nơi mưa rất to. </w:t>
      </w:r>
    </w:p>
    <w:p w14:paraId="073E80E8" w14:textId="77777777" w:rsidR="0034781F" w:rsidRDefault="00CB764A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r w:rsidRPr="00CB764A">
        <w:rPr>
          <w:lang w:val="vi-VN"/>
        </w:rPr>
        <w:t xml:space="preserve">EVN tiếp tục cập nhật thông tin cập nhật về tình hình khôi phục cung cấp điện, </w:t>
      </w:r>
      <w:r w:rsidRPr="00CB764A">
        <w:rPr>
          <w:lang w:val="vi-VN"/>
        </w:rPr>
        <w:t>công tác khắc phục hậu quả bão số 5</w:t>
      </w:r>
      <w:r w:rsidRPr="00CB764A">
        <w:rPr>
          <w:lang w:val="vi-VN"/>
        </w:rPr>
        <w:t xml:space="preserve"> </w:t>
      </w:r>
      <w:r w:rsidRPr="00CB764A">
        <w:rPr>
          <w:lang w:val="vi-VN"/>
        </w:rPr>
        <w:t xml:space="preserve">như sau: </w:t>
      </w:r>
    </w:p>
    <w:p w14:paraId="03E3EAA6" w14:textId="77777777" w:rsidR="00CB764A" w:rsidRDefault="0034781F" w:rsidP="00BD6FC0">
      <w:pPr>
        <w:snapToGrid w:val="0"/>
        <w:spacing w:after="120" w:line="240" w:lineRule="auto"/>
        <w:ind w:firstLine="567"/>
        <w:jc w:val="both"/>
        <w:rPr>
          <w:rFonts w:cs="Times New Roman"/>
          <w:szCs w:val="28"/>
          <w:lang w:val="vi-VN"/>
        </w:rPr>
      </w:pPr>
      <w:r w:rsidRPr="00BD6FC0">
        <w:rPr>
          <w:lang w:val="vi-VN"/>
        </w:rPr>
        <w:t>1.</w:t>
      </w:r>
      <w:r w:rsidR="00CB764A" w:rsidRPr="00CB764A">
        <w:rPr>
          <w:lang w:val="vi-VN"/>
        </w:rPr>
        <w:t xml:space="preserve"> Vận hành các hồ chứa thuỷ điện thuộc EVN: Tiếp tục vận hành theo các quy trình liên hồ/đơn hồ. Mực nước các hồ chứa khu vực có khả năng bị ảnh hưởng đang dưới mức nước theo quy trình điều tiết liên hồ, đơn hồ.</w:t>
      </w:r>
      <w:r>
        <w:rPr>
          <w:lang w:val="en-US"/>
        </w:rPr>
        <w:t xml:space="preserve"> L</w:t>
      </w:r>
      <w:r w:rsidR="00CB764A">
        <w:rPr>
          <w:lang w:val="vi-VN"/>
        </w:rPr>
        <w:t>ưu lượng</w:t>
      </w:r>
      <w:r>
        <w:rPr>
          <w:lang w:val="en-US"/>
        </w:rPr>
        <w:t xml:space="preserve"> nước</w:t>
      </w:r>
      <w:r w:rsidR="00CB764A">
        <w:rPr>
          <w:lang w:val="vi-VN"/>
        </w:rPr>
        <w:t xml:space="preserve"> về</w:t>
      </w:r>
      <w:r>
        <w:rPr>
          <w:lang w:val="en-US"/>
        </w:rPr>
        <w:t xml:space="preserve"> các hồ</w:t>
      </w:r>
      <w:r w:rsidR="00CB764A">
        <w:rPr>
          <w:lang w:val="vi-VN"/>
        </w:rPr>
        <w:t xml:space="preserve"> giảm nhanh</w:t>
      </w:r>
      <w:r>
        <w:rPr>
          <w:lang w:val="en-US"/>
        </w:rPr>
        <w:t>,</w:t>
      </w:r>
      <w:r w:rsidR="00CB764A">
        <w:rPr>
          <w:lang w:val="vi-VN"/>
        </w:rPr>
        <w:t xml:space="preserve"> hồ A Vương </w:t>
      </w:r>
      <w:r>
        <w:rPr>
          <w:lang w:val="en-US"/>
        </w:rPr>
        <w:t>vẫn thấp hơn</w:t>
      </w:r>
      <w:r w:rsidR="00CB764A">
        <w:rPr>
          <w:lang w:val="vi-VN"/>
        </w:rPr>
        <w:t xml:space="preserve"> 15m </w:t>
      </w:r>
      <w:r>
        <w:rPr>
          <w:lang w:val="en-US"/>
        </w:rPr>
        <w:t>so với mức nước dâng bình thường (MN</w:t>
      </w:r>
      <w:r w:rsidR="00CB764A">
        <w:rPr>
          <w:lang w:val="vi-VN"/>
        </w:rPr>
        <w:t>DBT</w:t>
      </w:r>
      <w:r>
        <w:rPr>
          <w:lang w:val="en-US"/>
        </w:rPr>
        <w:t>)</w:t>
      </w:r>
      <w:r w:rsidR="00CB764A">
        <w:rPr>
          <w:lang w:val="vi-VN"/>
        </w:rPr>
        <w:t>,</w:t>
      </w:r>
      <w:r>
        <w:rPr>
          <w:lang w:val="en-US"/>
        </w:rPr>
        <w:t xml:space="preserve"> hồ</w:t>
      </w:r>
      <w:r w:rsidR="00CB764A">
        <w:rPr>
          <w:lang w:val="vi-VN"/>
        </w:rPr>
        <w:t xml:space="preserve"> Sông Bung 2</w:t>
      </w:r>
      <w:r>
        <w:rPr>
          <w:lang w:val="en-US"/>
        </w:rPr>
        <w:t xml:space="preserve"> vẫn thấp hơn </w:t>
      </w:r>
      <w:r w:rsidR="00CB764A">
        <w:rPr>
          <w:lang w:val="vi-VN"/>
        </w:rPr>
        <w:t xml:space="preserve">17m </w:t>
      </w:r>
      <w:r>
        <w:rPr>
          <w:lang w:val="en-US"/>
        </w:rPr>
        <w:t>so với</w:t>
      </w:r>
      <w:r w:rsidR="00CB764A">
        <w:rPr>
          <w:lang w:val="vi-VN"/>
        </w:rPr>
        <w:t xml:space="preserve"> NMDBT, các hồ chứa khác như Sông Bung 4, Sông Tranh 2, Quảng Trị lưu lượng nước về thấp.</w:t>
      </w:r>
    </w:p>
    <w:p w14:paraId="59AD95C7" w14:textId="77777777" w:rsidR="00CB764A" w:rsidRDefault="0034781F" w:rsidP="00BD6FC0">
      <w:pPr>
        <w:snapToGrid w:val="0"/>
        <w:spacing w:after="120" w:line="240" w:lineRule="auto"/>
        <w:ind w:firstLine="567"/>
        <w:jc w:val="both"/>
        <w:rPr>
          <w:rFonts w:ascii="Calibri" w:hAnsi="Calibri" w:cs="Calibri"/>
          <w:sz w:val="22"/>
          <w:lang w:val="vi-VN"/>
        </w:rPr>
      </w:pPr>
      <w:r>
        <w:rPr>
          <w:lang w:val="en-US"/>
        </w:rPr>
        <w:t>2. Vận hành l</w:t>
      </w:r>
      <w:r w:rsidR="00CB764A">
        <w:rPr>
          <w:lang w:val="vi-VN"/>
        </w:rPr>
        <w:t>ưới điện:</w:t>
      </w:r>
    </w:p>
    <w:p w14:paraId="7357EB53" w14:textId="77777777" w:rsidR="00CB764A" w:rsidRDefault="00CB764A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r>
        <w:rPr>
          <w:lang w:val="vi-VN"/>
        </w:rPr>
        <w:t xml:space="preserve">+ Lưới điện 220-500kV: </w:t>
      </w:r>
      <w:r w:rsidR="0034781F">
        <w:rPr>
          <w:lang w:val="en-US"/>
        </w:rPr>
        <w:t>vận hành bình thường</w:t>
      </w:r>
      <w:r>
        <w:rPr>
          <w:lang w:val="vi-VN"/>
        </w:rPr>
        <w:t>.</w:t>
      </w:r>
    </w:p>
    <w:p w14:paraId="0EEBCEE9" w14:textId="77777777" w:rsidR="00CB764A" w:rsidRDefault="00CB764A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r>
        <w:rPr>
          <w:lang w:val="vi-VN"/>
        </w:rPr>
        <w:t>+ Lưới 110kV</w:t>
      </w:r>
      <w:r w:rsidR="0034781F">
        <w:rPr>
          <w:lang w:val="en-US"/>
        </w:rPr>
        <w:t>: một số sự cố nhỏ</w:t>
      </w:r>
      <w:r>
        <w:rPr>
          <w:lang w:val="vi-VN"/>
        </w:rPr>
        <w:t xml:space="preserve"> đang được</w:t>
      </w:r>
      <w:r w:rsidR="0034781F">
        <w:rPr>
          <w:lang w:val="en-US"/>
        </w:rPr>
        <w:t xml:space="preserve"> khẩn trương</w:t>
      </w:r>
      <w:r>
        <w:rPr>
          <w:lang w:val="vi-VN"/>
        </w:rPr>
        <w:t xml:space="preserve"> khôi phục, không ảnh hưởng đến cấp điện của các trạm biến áp.</w:t>
      </w:r>
    </w:p>
    <w:p w14:paraId="076D6896" w14:textId="77777777" w:rsidR="0034781F" w:rsidRDefault="00CB764A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r>
        <w:rPr>
          <w:lang w:val="vi-VN"/>
        </w:rPr>
        <w:t xml:space="preserve">+ Lưới điện trung hạ áp: </w:t>
      </w:r>
      <w:r w:rsidR="0034781F">
        <w:rPr>
          <w:lang w:val="en-US"/>
        </w:rPr>
        <w:t xml:space="preserve">Do ảnh hưởng bão đã gây </w:t>
      </w:r>
      <w:r>
        <w:rPr>
          <w:lang w:val="vi-VN"/>
        </w:rPr>
        <w:t>sự cố mất điện các tỉnh Quảng Bình, Quảng Trị, Thừa Thiên Huế, Quảng Nam, Đà Nẵng,</w:t>
      </w:r>
      <w:r w:rsidR="0034781F">
        <w:rPr>
          <w:lang w:val="en-US"/>
        </w:rPr>
        <w:t xml:space="preserve"> trong đó ảnh hưởng lớn nhất </w:t>
      </w:r>
      <w:r>
        <w:rPr>
          <w:lang w:val="vi-VN"/>
        </w:rPr>
        <w:t>là</w:t>
      </w:r>
      <w:r w:rsidR="0034781F">
        <w:rPr>
          <w:lang w:val="en-US"/>
        </w:rPr>
        <w:t xml:space="preserve"> tỉnh</w:t>
      </w:r>
      <w:r>
        <w:rPr>
          <w:lang w:val="vi-VN"/>
        </w:rPr>
        <w:t xml:space="preserve"> Thừa Thiên Huế, mất tải trên 300MW. </w:t>
      </w:r>
    </w:p>
    <w:p w14:paraId="0B51EEDA" w14:textId="77777777" w:rsidR="00CB764A" w:rsidRDefault="0034781F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r>
        <w:rPr>
          <w:lang w:val="en-US"/>
        </w:rPr>
        <w:t>Trong n</w:t>
      </w:r>
      <w:r w:rsidR="00CB764A">
        <w:rPr>
          <w:lang w:val="vi-VN"/>
        </w:rPr>
        <w:t>gày 18/9: Các CTĐL đã kiểm tra và khôi phục lại toàn bộ phụ tải các tỉnh Quảng Bình, Đà Nẵng; cơ bản khôi phục phụ tải các tỉnh Quảng Nam, Quảng Trị trừ khu vực ngập sâu, chia cắt; Thừa Thiên Huế khôi phục phụ tải cho thành phố, thị trấn, thị tứ. Ngày 19/9:</w:t>
      </w:r>
      <w:r>
        <w:rPr>
          <w:lang w:val="en-US"/>
        </w:rPr>
        <w:t xml:space="preserve"> dự</w:t>
      </w:r>
      <w:r w:rsidR="00CB764A">
        <w:rPr>
          <w:lang w:val="vi-VN"/>
        </w:rPr>
        <w:t xml:space="preserve"> khôi phục toàn bộ phụ tải của Quảng Trị, Quảng Nam và Thừa Thiên Huế, trừ khu vực không tiếp cận được. Thời gian sau 19/9 tiếp tục khôi phục phụ tải khi tiếp cận được lưới điện và củng cố lưới điện sau bão.</w:t>
      </w:r>
    </w:p>
    <w:p w14:paraId="6144E90D" w14:textId="09FB13E4" w:rsidR="00CB764A" w:rsidRDefault="0034781F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r>
        <w:rPr>
          <w:lang w:val="en-US"/>
        </w:rPr>
        <w:lastRenderedPageBreak/>
        <w:t xml:space="preserve">Để khẩn trương khôi phục cung cấp điện cho các khách hàng tại tỉnh Thừa Thiên Huế, </w:t>
      </w:r>
      <w:r w:rsidR="00CB764A">
        <w:rPr>
          <w:lang w:val="vi-VN"/>
        </w:rPr>
        <w:t>Tổng công ty Điện lực miền Trung</w:t>
      </w:r>
      <w:r>
        <w:rPr>
          <w:lang w:val="en-US"/>
        </w:rPr>
        <w:t xml:space="preserve"> đã </w:t>
      </w:r>
      <w:r w:rsidR="00CB764A">
        <w:rPr>
          <w:lang w:val="vi-VN"/>
        </w:rPr>
        <w:t>tăng cường nhân lực,</w:t>
      </w:r>
      <w:r>
        <w:rPr>
          <w:lang w:val="en-US"/>
        </w:rPr>
        <w:t xml:space="preserve"> phương tiện,</w:t>
      </w:r>
      <w:r w:rsidR="00CB764A">
        <w:rPr>
          <w:lang w:val="vi-VN"/>
        </w:rPr>
        <w:t xml:space="preserve"> thiết bị </w:t>
      </w:r>
      <w:r>
        <w:rPr>
          <w:lang w:val="en-US"/>
        </w:rPr>
        <w:t>từ các Công ty Điện lực Quảng Bình, Quảng Trị, Quảng Nam, Quảng Ngãi và Đà Nẵng để hỗ trợ</w:t>
      </w:r>
      <w:r w:rsidR="00CB764A">
        <w:rPr>
          <w:lang w:val="vi-VN"/>
        </w:rPr>
        <w:t xml:space="preserve"> Công ty Điện lực Thừa Thiên Huế</w:t>
      </w:r>
      <w:r>
        <w:rPr>
          <w:lang w:val="en-US"/>
        </w:rPr>
        <w:t>, trước mắt ưu tiên khôi phục cung cấp điện cho các phụ tải thiết yếu, quan trọng (như bệnh viện, cấp nước sạch, thông tin liên lạc,..)</w:t>
      </w:r>
      <w:r w:rsidR="00CB764A">
        <w:rPr>
          <w:lang w:val="vi-VN"/>
        </w:rPr>
        <w:t xml:space="preserve">. </w:t>
      </w:r>
    </w:p>
    <w:p w14:paraId="0036CA54" w14:textId="77777777" w:rsidR="004E677A" w:rsidRDefault="004E677A" w:rsidP="00BD6FC0">
      <w:pPr>
        <w:snapToGrid w:val="0"/>
        <w:spacing w:after="120" w:line="240" w:lineRule="auto"/>
        <w:ind w:firstLine="567"/>
        <w:jc w:val="both"/>
        <w:rPr>
          <w:lang w:val="vi-VN"/>
        </w:rPr>
      </w:pPr>
      <w:bookmarkStart w:id="0" w:name="_GoBack"/>
      <w:bookmarkEnd w:id="0"/>
    </w:p>
    <w:p w14:paraId="2BAD78FB" w14:textId="77777777" w:rsidR="00BD6FC0" w:rsidRPr="00DF75FA" w:rsidRDefault="00BD6FC0" w:rsidP="00BD6FC0">
      <w:pPr>
        <w:tabs>
          <w:tab w:val="left" w:pos="864"/>
          <w:tab w:val="left" w:pos="990"/>
          <w:tab w:val="left" w:pos="1260"/>
        </w:tabs>
        <w:ind w:left="709" w:right="74"/>
        <w:rPr>
          <w:b/>
          <w:sz w:val="24"/>
          <w:szCs w:val="24"/>
          <w:u w:val="single"/>
          <w:lang w:val="pt-BR"/>
        </w:rPr>
      </w:pPr>
      <w:r w:rsidRPr="00DF75FA">
        <w:rPr>
          <w:b/>
          <w:sz w:val="24"/>
          <w:szCs w:val="24"/>
          <w:u w:val="single"/>
          <w:lang w:val="pt-BR"/>
        </w:rPr>
        <w:t>THÔNG TIN LIÊN HỆ:</w:t>
      </w:r>
    </w:p>
    <w:p w14:paraId="3907062F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Ban Truyền thông - Tập đoàn Điện lực Việt Nam;</w:t>
      </w:r>
    </w:p>
    <w:p w14:paraId="5D84FA1C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Email: </w:t>
      </w:r>
      <w:hyperlink r:id="rId8" w:history="1">
        <w:r w:rsidRPr="00DF75FA">
          <w:rPr>
            <w:rStyle w:val="Hyperlink"/>
          </w:rPr>
          <w:t>bantt@evn.com.vn</w:t>
        </w:r>
      </w:hyperlink>
    </w:p>
    <w:p w14:paraId="517BF77C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Điện thoại: 024.66946405/66946413; Fax: 024.66946402</w:t>
      </w:r>
    </w:p>
    <w:p w14:paraId="1BD23ECB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Địa chỉ: Số 11 phố Cửa Bắc, phường Trúc Bạch, quận Ba Đình - Hà Nội;</w:t>
      </w:r>
    </w:p>
    <w:p w14:paraId="6BBFB70D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Website: </w:t>
      </w:r>
      <w:hyperlink r:id="rId9" w:history="1">
        <w:r w:rsidRPr="00DF75FA">
          <w:rPr>
            <w:rStyle w:val="Hyperlink"/>
          </w:rPr>
          <w:t>www.evn.com.vn</w:t>
        </w:r>
      </w:hyperlink>
      <w:r w:rsidRPr="00DF75FA">
        <w:t>, </w:t>
      </w:r>
      <w:hyperlink r:id="rId10" w:history="1">
        <w:r w:rsidRPr="00DF75FA">
          <w:rPr>
            <w:rStyle w:val="Hyperlink"/>
          </w:rPr>
          <w:t>www.tietkiemnangluong.vn</w:t>
        </w:r>
      </w:hyperlink>
      <w:r w:rsidRPr="00DF75FA">
        <w:t xml:space="preserve"> </w:t>
      </w:r>
    </w:p>
    <w:p w14:paraId="34DE6E9A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 xml:space="preserve">Fanpage: </w:t>
      </w:r>
      <w:hyperlink r:id="rId11" w:history="1">
        <w:r w:rsidRPr="00DF75FA">
          <w:rPr>
            <w:rStyle w:val="Hyperlink"/>
          </w:rPr>
          <w:t>www.facebook.com/evndienlucvietnam</w:t>
        </w:r>
      </w:hyperlink>
      <w:r w:rsidRPr="00DF75FA">
        <w:rPr>
          <w:u w:val="single"/>
        </w:rPr>
        <w:t xml:space="preserve"> </w:t>
      </w:r>
    </w:p>
    <w:p w14:paraId="5445CD9B" w14:textId="77777777" w:rsidR="0089110A" w:rsidRDefault="0089110A"/>
    <w:sectPr w:rsidR="0089110A" w:rsidSect="00BD6FC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4A"/>
    <w:rsid w:val="0034781F"/>
    <w:rsid w:val="004E677A"/>
    <w:rsid w:val="0089110A"/>
    <w:rsid w:val="00BD6FC0"/>
    <w:rsid w:val="00C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249E"/>
  <w15:chartTrackingRefBased/>
  <w15:docId w15:val="{7E5C7A14-568E-4155-BE0C-58E81A5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6FC0"/>
    <w:pPr>
      <w:tabs>
        <w:tab w:val="left" w:pos="907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BD6FC0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t@evn.com.v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evndienlucvietn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etkiemnangluong.v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vn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3" ma:contentTypeDescription="Tạo tài liệu mới." ma:contentTypeScope="" ma:versionID="ae6c2c5482e1e0adc371a274ba88951d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99c3e55a506143370b29c05622f4522d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C27E2-1CFF-4CC0-B750-143064975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078C2-2DBB-46D3-A4DC-57BEF3E03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7A5BF-9858-4EF6-83DC-F26FC6500A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2</cp:revision>
  <dcterms:created xsi:type="dcterms:W3CDTF">2020-09-19T02:31:00Z</dcterms:created>
  <dcterms:modified xsi:type="dcterms:W3CDTF">2020-09-19T02:56:00Z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